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D3D7B9"/>
        <w:bidi w:val="0"/>
        <w:jc w:val="left"/>
        <w:spacing w:before="0" w:after="0"/>
        <w:ind w:left="0" w:right="0" w:firstLine="540"/>
      </w:pPr>
      <w:r>
        <w:rPr>
          <w:rStyle w:val="CharStyle4"/>
        </w:rPr>
        <w:t xml:space="preserve">Ali droit </w:t>
      </w:r>
      <w:r>
        <w:rPr>
          <w:rStyle w:val="CharStyle5"/>
        </w:rPr>
        <w:t>EcclefiajUcjfie.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 441 ítiatrículer en deux églises. Depuis ' le partage des revenus ecclésiastiques, il s’est trouvé des benefices d’tin re</w:t>
        <w:softHyphen/>
        <w:t>venu si petit , qu’un clerc n’cn pou</w:t>
        <w:softHyphen/>
        <w:t>voir subsister , &amp; qui ne demandoient</w:t>
      </w:r>
      <w:r>
        <w:rPr>
          <w:lang w:val="fr-FR" w:eastAsia="fr-FR" w:bidi="fr-FR"/>
          <w:vertAlign w:val="superscript"/>
          <w:w w:val="100"/>
          <w:spacing w:val="0"/>
          <w:color w:val="000000"/>
          <w:position w:val="0"/>
        </w:rPr>
        <w:t xml:space="preserve">1 </w:t>
      </w:r>
      <w:r>
        <w:rPr>
          <w:lang w:val="fr-FR" w:eastAsia="fr-FR" w:bidi="fr-FR"/>
          <w:w w:val="100"/>
          <w:spacing w:val="0"/>
          <w:color w:val="000000"/>
          <w:position w:val="0"/>
        </w:rPr>
        <w:t>pas atistà un service continuel. Voilà le fondement d’en attribuer plusieurs, à une même personne, comme une chanoinie de ioo. livres de rente , avec one chapelle de 60. livres, pour celebrer cinq ou six messes par an , dans la même église , ou dans une église voisine»</w:t>
      </w:r>
    </w:p>
    <w:p>
      <w:pPr>
        <w:pStyle w:val="Style2"/>
        <w:widowControl w:val="0"/>
        <w:keepNext w:val="0"/>
        <w:keepLines w:val="0"/>
        <w:shd w:val="clear" w:color="auto" w:fill="D3D7B9"/>
        <w:bidi w:val="0"/>
        <w:jc w:val="both"/>
        <w:spacing w:before="0" w:after="0"/>
        <w:ind w:left="0" w:right="0" w:firstLine="300"/>
      </w:pPr>
      <w:r>
        <w:rPr>
          <w:lang w:val="fr-FR" w:eastAsia="fr-FR" w:bidi="fr-FR"/>
          <w:w w:val="100"/>
          <w:spacing w:val="0"/>
          <w:color w:val="000000"/>
          <w:position w:val="0"/>
        </w:rPr>
        <w:t>Dans les tems de relâchement on s’est servi de ce prétexte pour ' accumuler plusieurs benefices , quoi</w:t>
        <w:softHyphen/>
        <w:t>que fort éloignez, même avec char</w:t>
        <w:softHyphen/>
        <w:t>ge dames ; plusieurs cures, plusieurs évêchez, croyant en être quitte,en faisant faire le service par d’autres à qui on donnoit quelque partie des fruits. Cet abus fut réprimé par le concile de Lsrran fous Alexandre III» qui déclara que la collation du second benefiee étoit nulle , &amp; que l’on ne pouvoir retenir que le pre-</w:t>
      </w:r>
      <w:r>
        <w:rPr>
          <w:lang w:val="fr-FR" w:eastAsia="fr-FR" w:bidi="fr-FR"/>
          <w:vertAlign w:val="subscript"/>
          <w:w w:val="100"/>
          <w:spacing w:val="0"/>
          <w:color w:val="000000"/>
          <w:position w:val="0"/>
        </w:rPr>
        <w:t xml:space="preserve">: </w:t>
      </w:r>
      <w:r>
        <w:rPr>
          <w:lang w:val="fr-FR" w:eastAsia="fr-FR" w:bidi="fr-FR"/>
          <w:w w:val="100"/>
          <w:spacing w:val="0"/>
          <w:color w:val="000000"/>
          <w:position w:val="0"/>
        </w:rPr>
        <w:t>mier. Mais cette ordonnance n’ayant &lt; pas eu grand ester , le concile de</w:t>
      </w:r>
      <w:r>
        <w:rPr>
          <w:lang w:val="fr-FR" w:eastAsia="fr-FR" w:bidi="fr-FR"/>
          <w:vertAlign w:val="superscript"/>
          <w:w w:val="100"/>
          <w:spacing w:val="0"/>
          <w:color w:val="000000"/>
          <w:position w:val="0"/>
        </w:rPr>
        <w:t>;</w:t>
      </w:r>
    </w:p>
    <w:p>
      <w:pPr>
        <w:pStyle w:val="Style2"/>
        <w:widowControl w:val="0"/>
        <w:keepNext w:val="0"/>
        <w:keepLines w:val="0"/>
        <w:shd w:val="clear" w:color="auto" w:fill="D3D7B9"/>
        <w:bidi w:val="0"/>
        <w:jc w:val="left"/>
        <w:spacing w:before="0" w:after="0"/>
        <w:ind w:left="2300" w:right="0" w:firstLine="0"/>
      </w:pPr>
      <w:r>
        <w:rPr>
          <w:lang w:val="fr-FR" w:eastAsia="fr-FR" w:bidi="fr-FR"/>
          <w:w w:val="100"/>
          <w:spacing w:val="0"/>
          <w:color w:val="000000"/>
          <w:position w:val="0"/>
        </w:rPr>
        <w:t>T y</w:t>
      </w:r>
    </w:p>
    <w:sectPr>
      <w:footnotePr>
        <w:pos w:val="pageBottom"/>
        <w:numFmt w:val="decimal"/>
        <w:numRestart w:val="continuous"/>
      </w:footnotePr>
      <w:pgSz w:w="3432" w:h="7618"/>
      <w:pgMar w:top="60" w:left="36" w:right="31" w:bottom="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  <w:style w:type="character" w:customStyle="1" w:styleId="CharStyle4">
    <w:name w:val="Body text (2) + 7.5 pt,Italic,Scaling 200%"/>
    <w:basedOn w:val="CharStyle3"/>
    <w:rPr>
      <w:lang w:val="fr-FR" w:eastAsia="fr-FR" w:bidi="fr-FR"/>
      <w:i/>
      <w:iCs/>
      <w:sz w:val="15"/>
      <w:szCs w:val="15"/>
      <w:w w:val="200"/>
      <w:spacing w:val="0"/>
      <w:color w:val="000000"/>
      <w:position w:val="0"/>
    </w:rPr>
  </w:style>
  <w:style w:type="character" w:customStyle="1" w:styleId="CharStyle5">
    <w:name w:val="Body text (2) + Italic,Scaling 200%"/>
    <w:basedOn w:val="CharStyle3"/>
    <w:rPr>
      <w:lang w:val="fr-FR" w:eastAsia="fr-FR" w:bidi="fr-FR"/>
      <w:i/>
      <w:iCs/>
      <w:w w:val="200"/>
      <w:spacing w:val="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Default Metrics Font" w:eastAsia="Default Metrics Font" w:hAnsi="Default Metrics Font" w:cs="Default Metrics Fon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